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/>
        <w:rPr>
          <w:rFonts w:ascii="黑体" w:hAnsi="黑体" w:eastAsia="黑体"/>
          <w:b w:val="0"/>
        </w:rPr>
      </w:pPr>
      <w:bookmarkStart w:id="0" w:name="_Toc515346988"/>
      <w:r>
        <w:rPr>
          <w:rFonts w:hint="eastAsia" w:ascii="黑体" w:hAnsi="黑体" w:eastAsia="黑体"/>
          <w:b w:val="0"/>
        </w:rPr>
        <w:t>附录五  安全隔水层厚度和突水系数计算公式</w:t>
      </w:r>
      <w:bookmarkEnd w:id="0"/>
    </w:p>
    <w:p>
      <w:pPr>
        <w:snapToGrid w:val="0"/>
        <w:ind w:firstLine="643" w:firstLineChars="200"/>
        <w:rPr>
          <w:rFonts w:ascii="Times New Roman" w:hAnsi="Times New Roman" w:eastAsia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一、掘进工作面安全隔水层厚度计算公式</w:t>
      </w:r>
    </w:p>
    <w:p>
      <w:pPr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 w:cs="宋体"/>
          <w:position w:val="-32"/>
          <w:sz w:val="32"/>
          <w:szCs w:val="24"/>
        </w:rPr>
        <w:object>
          <v:shape id="_x0000_i1025" o:spt="75" type="#_x0000_t75" style="height:48.55pt;width:156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仿宋_GB2312" w:cs="宋体"/>
          <w:position w:val="-32"/>
          <w:sz w:val="32"/>
          <w:szCs w:val="24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（附5</w:t>
      </w:r>
      <w:r>
        <w:rPr>
          <w:rFonts w:hint="eastAsia" w:ascii="仿宋_GB2312" w:hAnsi="Times New Roman" w:eastAsia="仿宋_GB2312" w:cs="仿宋_GB2312"/>
          <w:sz w:val="32"/>
          <w:szCs w:val="24"/>
        </w:rPr>
        <w:t>-</w:t>
      </w:r>
      <w:r>
        <w:rPr>
          <w:rFonts w:hint="eastAsia" w:ascii="Times New Roman" w:hAnsi="Times New Roman" w:eastAsia="仿宋_GB2312" w:cs="仿宋_GB2312"/>
          <w:sz w:val="32"/>
          <w:szCs w:val="24"/>
        </w:rPr>
        <w:t>1）</w:t>
      </w:r>
    </w:p>
    <w:p>
      <w:pPr>
        <w:snapToGrid w:val="0"/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t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—安全隔水层厚度，m；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L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—巷道底板宽度，m；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drawing>
          <wp:inline distT="0" distB="0" distL="114300" distR="114300">
            <wp:extent cx="127000" cy="162560"/>
            <wp:effectExtent l="0" t="0" r="6350" b="698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—底板隔水层的平均重度，MN/m</w:t>
      </w:r>
      <w:r>
        <w:rPr>
          <w:rFonts w:ascii="Times New Roman" w:hAnsi="Times New Roman" w:cs="宋体"/>
          <w:sz w:val="32"/>
          <w:szCs w:val="24"/>
        </w:rPr>
        <w:t>³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K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bscript"/>
        </w:rPr>
        <w:t>p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—底板隔水层的平均抗拉强度，MPa；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p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—底板隔水层承受的实际水头值，MPa。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二、突水系数计算公式</w:t>
      </w:r>
    </w:p>
    <w:p>
      <w:pPr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 w:cs="宋体"/>
          <w:i/>
          <w:iCs/>
          <w:position w:val="-10"/>
          <w:sz w:val="32"/>
          <w:szCs w:val="24"/>
        </w:rPr>
        <w:object>
          <v:shape id="_x0000_i1027" o:spt="75" type="#_x0000_t75" style="height:17.45pt;width:9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7">
            <o:LockedField>false</o:LockedField>
          </o:OLEObject>
        </w:object>
      </w:r>
      <w:r>
        <w:rPr>
          <w:rFonts w:ascii="Times New Roman" w:hAnsi="Times New Roman" w:eastAsia="仿宋_GB2312" w:cs="宋体"/>
          <w:i/>
          <w:iCs/>
          <w:position w:val="-24"/>
          <w:sz w:val="32"/>
          <w:szCs w:val="24"/>
        </w:rPr>
        <w:object>
          <v:shape id="_x0000_i1028" o:spt="75" type="#_x0000_t75" style="height:38.8pt;width:4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eastAsia="仿宋_GB2312" w:cs="宋体"/>
          <w:i/>
          <w:iCs/>
          <w:position w:val="-24"/>
          <w:sz w:val="32"/>
          <w:szCs w:val="24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（附5</w:t>
      </w:r>
      <w:r>
        <w:rPr>
          <w:rFonts w:hint="eastAsia" w:ascii="仿宋_GB2312" w:hAnsi="Times New Roman" w:eastAsia="仿宋_GB2312" w:cs="仿宋_GB2312"/>
          <w:sz w:val="32"/>
          <w:szCs w:val="24"/>
        </w:rPr>
        <w:t>-</w:t>
      </w:r>
      <w:r>
        <w:rPr>
          <w:rFonts w:hint="eastAsia" w:ascii="Times New Roman" w:hAnsi="Times New Roman" w:eastAsia="仿宋_GB2312" w:cs="仿宋_GB2312"/>
          <w:sz w:val="32"/>
          <w:szCs w:val="24"/>
        </w:rPr>
        <w:t>2）</w:t>
      </w:r>
    </w:p>
    <w:p>
      <w:pPr>
        <w:snapToGrid w:val="0"/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Ｔ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—突水系数，MPa/m；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 p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—底板隔水层承受的实际水头值，MPa；水压应当从含水层顶界面起算，水位值取近3年含水层观测水位最高值；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M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—底板隔水层厚度，m。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式（附5-2）适用于采煤工作面，就全国实际资料看，底板受构造破坏的地段突水系数一般不得大于0.06 MPa/m，隔水层完整无断裂构造破坏的地段不得大于0.1 MPa/m。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mI0ZDM3MzA3MTQzYzgzMjI0ZDYyYTUwOTU4MDMifQ=="/>
  </w:docVars>
  <w:rsids>
    <w:rsidRoot w:val="0B683C9B"/>
    <w:rsid w:val="0B683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2022-06-22T03:51:00Z</dcterms:created>
  <dc:creator>Smile_洛 </dc:creator>
  <cp:lastModifiedBy>Smile_洛 </cp:lastModifiedBy>
  <dcterms:modified xsi:type="dcterms:W3CDTF">2022-06-22T03:52:13Z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435D5CEA16A04A159B0F0362E39CF197</vt:lpwstr>
  </property>
</Properties>
</file>